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3F33B" w14:textId="2CB40997" w:rsidR="008470A2" w:rsidRPr="008470A2" w:rsidRDefault="008470A2" w:rsidP="008470A2">
      <w:pPr>
        <w:jc w:val="right"/>
        <w:rPr>
          <w:rFonts w:ascii="Trebuchet MS" w:hAnsi="Trebuchet MS"/>
          <w:sz w:val="20"/>
          <w:szCs w:val="20"/>
          <w:lang w:val="ro-RO"/>
        </w:rPr>
      </w:pPr>
      <w:r>
        <w:rPr>
          <w:rFonts w:ascii="Trebuchet MS" w:hAnsi="Trebuchet MS"/>
          <w:b/>
          <w:bCs/>
          <w:sz w:val="20"/>
          <w:szCs w:val="20"/>
          <w:lang w:val="ro-RO"/>
        </w:rPr>
        <w:t>Anexa nr. 10</w:t>
      </w:r>
      <w:r>
        <w:rPr>
          <w:rFonts w:ascii="Trebuchet MS" w:hAnsi="Trebuchet MS"/>
          <w:sz w:val="20"/>
          <w:szCs w:val="20"/>
          <w:lang w:val="ro-RO"/>
        </w:rPr>
        <w:t xml:space="preserve"> – Metodologia de evaluare și selecție PA</w:t>
      </w:r>
    </w:p>
    <w:p w14:paraId="6400381B" w14:textId="77777777" w:rsidR="00EF6481" w:rsidRPr="008470A2" w:rsidRDefault="00EF6481" w:rsidP="008470A2">
      <w:pPr>
        <w:rPr>
          <w:lang w:val="ro-RO"/>
        </w:rPr>
      </w:pPr>
    </w:p>
    <w:p w14:paraId="38A8AEB2" w14:textId="5FE82684" w:rsidR="008470A2" w:rsidRPr="008470A2" w:rsidRDefault="008470A2" w:rsidP="008470A2">
      <w:pPr>
        <w:jc w:val="center"/>
        <w:rPr>
          <w:rFonts w:ascii="Trebuchet MS" w:hAnsi="Trebuchet MS"/>
          <w:b/>
          <w:bCs/>
          <w:lang w:val="ro-RO"/>
        </w:rPr>
      </w:pPr>
      <w:r>
        <w:rPr>
          <w:rFonts w:ascii="Trebuchet MS" w:hAnsi="Trebuchet MS"/>
          <w:b/>
          <w:bCs/>
          <w:lang w:val="ro-RO"/>
        </w:rPr>
        <w:t>Categorii de cheltuieli eligibile și neeligibile din minimis și cofinanțarea aferentă</w:t>
      </w:r>
    </w:p>
    <w:p w14:paraId="508C3B90" w14:textId="77777777" w:rsidR="008470A2" w:rsidRPr="008470A2" w:rsidRDefault="008470A2" w:rsidP="008470A2">
      <w:pPr>
        <w:jc w:val="center"/>
        <w:rPr>
          <w:rFonts w:ascii="Trebuchet MS" w:hAnsi="Trebuchet MS"/>
          <w:b/>
          <w:bCs/>
          <w:lang w:val="ro-RO"/>
        </w:rPr>
      </w:pPr>
    </w:p>
    <w:p w14:paraId="3E773147" w14:textId="087400BC" w:rsidR="008470A2" w:rsidRPr="008470A2" w:rsidRDefault="008470A2" w:rsidP="008470A2">
      <w:pPr>
        <w:spacing w:after="0" w:line="276" w:lineRule="auto"/>
        <w:rPr>
          <w:rFonts w:ascii="Trebuchet MS" w:hAnsi="Trebuchet MS"/>
          <w:b/>
          <w:bCs/>
          <w:lang w:val="ro-RO"/>
        </w:rPr>
      </w:pPr>
      <w:r>
        <w:rPr>
          <w:rFonts w:ascii="Trebuchet MS" w:hAnsi="Trebuchet MS"/>
          <w:b/>
          <w:bCs/>
          <w:lang w:val="ro-RO"/>
        </w:rPr>
        <w:t>Lista de cheltuieli eligibile:</w:t>
      </w:r>
    </w:p>
    <w:p w14:paraId="520BF6C6" w14:textId="77777777" w:rsidR="008470A2" w:rsidRPr="008470A2" w:rsidRDefault="008470A2" w:rsidP="008470A2">
      <w:pPr>
        <w:spacing w:after="0" w:line="276" w:lineRule="auto"/>
        <w:rPr>
          <w:rFonts w:ascii="Trebuchet MS" w:hAnsi="Trebuchet MS"/>
          <w:b/>
          <w:bCs/>
          <w:lang w:val="ro-RO"/>
        </w:rPr>
      </w:pPr>
    </w:p>
    <w:p w14:paraId="1969C2BC"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cu salariile personalului nou angajat</w:t>
      </w:r>
    </w:p>
    <w:p w14:paraId="096070C7"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salariale</w:t>
      </w:r>
    </w:p>
    <w:p w14:paraId="53D34AE6"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Venituri asimilate salariilor pentru experți proprii/ cooptați</w:t>
      </w:r>
    </w:p>
    <w:p w14:paraId="05E7DAB8" w14:textId="125A19E1"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Contribuţii sociale aferente cheltuielilor salariale şi cheltuielilor asimilate acestora (contribuţii angajaţi şi angajatori)</w:t>
      </w:r>
    </w:p>
    <w:p w14:paraId="2ABE89B4"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cu deplasarea personalului întreprinderilor sprijinite</w:t>
      </w:r>
    </w:p>
    <w:p w14:paraId="6AB59574"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pentru cazare</w:t>
      </w:r>
    </w:p>
    <w:p w14:paraId="533385E4"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cu diurna personalului propriu</w:t>
      </w:r>
    </w:p>
    <w:p w14:paraId="7F9A6BF4" w14:textId="650E4660"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Cheltuieli pentru transportul persoanelor (inclusiv transportul efectuat cu mijloacele de transport în comun sau taxi, gară, autogară sau port și locul delegării ori locul de cazare, precum și transportul efectuat pe distanța dintre locul de cazare și locul delegării)</w:t>
      </w:r>
    </w:p>
    <w:p w14:paraId="622C7A2E"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Taxe și asigurări de călătorie și asigurări medicale aferente deplasării</w:t>
      </w:r>
    </w:p>
    <w:p w14:paraId="556ACA40" w14:textId="1E4A83EA"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Cheltuieli aferente diverselor achiziții de servicii specializate, pentru care beneficiarul ajutorului de minimis nu are expertiza necesară</w:t>
      </w:r>
    </w:p>
    <w:p w14:paraId="4D330895" w14:textId="562BF890"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Cheltuieli cu achiziția de active fixe corporale (altele decât terenuri și imobile), obiecte de inventar, materii prime și materiale, inclusiv materiale consumabile, alte cheltuieli pentru investiţii necesare funcţionării întreprinderilor</w:t>
      </w:r>
    </w:p>
    <w:p w14:paraId="702DCD72" w14:textId="38726442"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Cheltuieli cu închirierea de sedii (inclusiv depozite), spații pentru desfășurarea diverselor activități ale întreprinderii, echipamente, vehicule, diverse bunuri</w:t>
      </w:r>
    </w:p>
    <w:p w14:paraId="759D7F90" w14:textId="5F65AA00"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Cheltuieli de leasing fără achiziție (leasing operațional) aferente funcționării întreprinderilor (rate de leasing operațional plătite de întreprindere pentru: echipamente, vehicule, diverse bunuri mobile și imobile)</w:t>
      </w:r>
    </w:p>
    <w:p w14:paraId="3633B4AB"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Utilităţi aferente funcţionării întreprinderilor</w:t>
      </w:r>
    </w:p>
    <w:p w14:paraId="78A6D99C"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Servicii de administrare a clădirilor aferente funcţionării întreprinderilor</w:t>
      </w:r>
    </w:p>
    <w:p w14:paraId="2F4D735D" w14:textId="231D3060"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Servicii de întreţinere şi reparare de echipamente şi mijloace de transport aferente funcţionării întreprinderilor</w:t>
      </w:r>
    </w:p>
    <w:p w14:paraId="494F95A5"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Arhivare de documente aferente funcţionării întreprinderilor</w:t>
      </w:r>
    </w:p>
    <w:p w14:paraId="0D2CB323"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Amortizare de active aferente funcţionării întreprinderilor</w:t>
      </w:r>
    </w:p>
    <w:p w14:paraId="06E0F12D"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financiare şi juridice (notariale) aferente funcţionării întreprinderilor</w:t>
      </w:r>
    </w:p>
    <w:p w14:paraId="67989BFA" w14:textId="77777777" w:rsidR="008470A2" w:rsidRPr="008470A2" w:rsidRDefault="008470A2" w:rsidP="008470A2">
      <w:pPr>
        <w:spacing w:after="0" w:line="276" w:lineRule="auto"/>
        <w:rPr>
          <w:rFonts w:ascii="Trebuchet MS" w:hAnsi="Trebuchet MS"/>
          <w:lang w:val="ro-RO"/>
        </w:rPr>
      </w:pPr>
    </w:p>
    <w:p w14:paraId="7E910C4F"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lastRenderedPageBreak/>
        <w:t>• Conectare la reţele informatice aferente funcţionării întreprinderilor</w:t>
      </w:r>
    </w:p>
    <w:p w14:paraId="1D921F0C"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Cheltuieli de informare şi publicitate aferente funcţionării întreprinderilor</w:t>
      </w:r>
    </w:p>
    <w:p w14:paraId="5C1C43A7" w14:textId="09BDDC04" w:rsidR="008470A2" w:rsidRPr="008470A2" w:rsidRDefault="008470A2" w:rsidP="008470A2">
      <w:pPr>
        <w:spacing w:after="0" w:line="276" w:lineRule="auto"/>
        <w:rPr>
          <w:rFonts w:ascii="Trebuchet MS" w:hAnsi="Trebuchet MS"/>
          <w:lang w:val="ro-RO"/>
        </w:rPr>
      </w:pPr>
      <w:r>
        <w:rPr>
          <w:rFonts w:ascii="Trebuchet MS" w:hAnsi="Trebuchet MS"/>
          <w:lang w:val="ro-RO"/>
        </w:rPr>
        <w:t>• Alte cheltuieli aferente funcţionării întreprinderilor</w:t>
      </w:r>
    </w:p>
    <w:p w14:paraId="2BD0C4EA"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xml:space="preserve">• Prelucrare de date </w:t>
      </w:r>
    </w:p>
    <w:p w14:paraId="5C315987"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xml:space="preserve">• Întreţinere, actualizare şi dezvoltare de aplicaţii informatice </w:t>
      </w:r>
    </w:p>
    <w:p w14:paraId="1A98A982"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xml:space="preserve">• Achiziţionare de publicaţii, cărţi, reviste de specialitate relevante pentru operaţiune, în format tipărit şi/sau electronic </w:t>
      </w:r>
    </w:p>
    <w:p w14:paraId="6BF79EEB" w14:textId="77777777" w:rsidR="008470A2" w:rsidRPr="008470A2" w:rsidRDefault="008470A2" w:rsidP="008470A2">
      <w:pPr>
        <w:spacing w:after="0" w:line="276" w:lineRule="auto"/>
        <w:rPr>
          <w:rFonts w:ascii="Trebuchet MS" w:hAnsi="Trebuchet MS"/>
          <w:lang w:val="ro-RO"/>
        </w:rPr>
      </w:pPr>
      <w:r>
        <w:rPr>
          <w:rFonts w:ascii="Trebuchet MS" w:hAnsi="Trebuchet MS"/>
          <w:lang w:val="ro-RO"/>
        </w:rPr>
        <w:t xml:space="preserve">• Concesiuni, brevete, licenţe, mărci comerciale, drepturi şi active similare </w:t>
      </w:r>
    </w:p>
    <w:p w14:paraId="1E621BF8" w14:textId="6DAB9ECA" w:rsidR="008470A2" w:rsidRPr="008470A2" w:rsidRDefault="008470A2" w:rsidP="008470A2">
      <w:pPr>
        <w:spacing w:after="0" w:line="276" w:lineRule="auto"/>
        <w:rPr>
          <w:rFonts w:ascii="Trebuchet MS" w:hAnsi="Trebuchet MS"/>
          <w:lang w:val="ro-RO"/>
        </w:rPr>
      </w:pPr>
      <w:r>
        <w:rPr>
          <w:rFonts w:ascii="Trebuchet MS" w:hAnsi="Trebuchet MS"/>
          <w:lang w:val="ro-RO"/>
        </w:rPr>
        <w:t>• Cheltuielile aferente garanțiilor oferite de bănci sau alte instituții financiare</w:t>
      </w:r>
    </w:p>
    <w:p w14:paraId="1B6BDBF2" w14:textId="77777777" w:rsidR="008470A2" w:rsidRPr="008470A2" w:rsidRDefault="008470A2" w:rsidP="008470A2">
      <w:pPr>
        <w:spacing w:after="0" w:line="276" w:lineRule="auto"/>
        <w:rPr>
          <w:rFonts w:ascii="Trebuchet MS" w:hAnsi="Trebuchet MS"/>
          <w:lang w:val="ro-RO"/>
        </w:rPr>
      </w:pPr>
    </w:p>
    <w:p w14:paraId="4E019B18" w14:textId="77777777" w:rsidR="008470A2" w:rsidRPr="008470A2" w:rsidRDefault="008470A2" w:rsidP="008470A2">
      <w:pPr>
        <w:spacing w:after="0" w:line="276" w:lineRule="auto"/>
        <w:rPr>
          <w:rFonts w:ascii="Trebuchet MS" w:hAnsi="Trebuchet MS"/>
          <w:lang w:val="ro-RO"/>
        </w:rPr>
      </w:pPr>
    </w:p>
    <w:p w14:paraId="0D53EA01" w14:textId="77777777"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xml:space="preserve">Toate cheltuielile efectuate din ajutorul de minimis și din cofinanțarea proprie aferentă trebuie să respecte prevederile Ghidului Solicitantului – Condiții Specifice „Sprijin pentru înființarea de întreprinderi sociale în mediul urban – ITI Delta Dunării", ale schemei de ajutor de minimis „Sprijin pentru înființarea de întreprinderi sociale în mediul urban", ale Contractului de subvenție și ale HG nr. 873/2022 privind eligibilitatea cheltuielilor, precum și plafoanele și regulile de decontare stabilite prin acestea. </w:t>
      </w:r>
    </w:p>
    <w:p w14:paraId="57A7194B" w14:textId="77777777" w:rsidR="008470A2" w:rsidRPr="008470A2" w:rsidRDefault="008470A2" w:rsidP="008470A2">
      <w:pPr>
        <w:spacing w:after="0" w:line="276" w:lineRule="auto"/>
        <w:jc w:val="both"/>
        <w:rPr>
          <w:rFonts w:ascii="Trebuchet MS" w:hAnsi="Trebuchet MS"/>
          <w:lang w:val="ro-RO"/>
        </w:rPr>
      </w:pPr>
    </w:p>
    <w:p w14:paraId="5F493DFD" w14:textId="77777777"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 xml:space="preserve">Cheltuielile sunt eligibile numai dacă sunt prevăzute în bugetul planului de afaceri aprobat, sunt efectuate în perioada de implementare a planului de afaceri, sunt necesare și în concordanță cu obiectul de activitate al întreprinderii sociale și cu activitățile descrise în planul de afaceri, și sunt susținute de documente justificative complete. </w:t>
      </w:r>
    </w:p>
    <w:p w14:paraId="6B16536B" w14:textId="77777777" w:rsidR="008470A2" w:rsidRPr="008470A2" w:rsidRDefault="008470A2" w:rsidP="008470A2">
      <w:pPr>
        <w:spacing w:after="0" w:line="276" w:lineRule="auto"/>
        <w:jc w:val="both"/>
        <w:rPr>
          <w:rFonts w:ascii="Trebuchet MS" w:hAnsi="Trebuchet MS"/>
          <w:lang w:val="ro-RO"/>
        </w:rPr>
      </w:pPr>
    </w:p>
    <w:p w14:paraId="76152CF8" w14:textId="17DBECC1" w:rsidR="008470A2" w:rsidRPr="008470A2" w:rsidRDefault="008470A2" w:rsidP="008470A2">
      <w:pPr>
        <w:spacing w:after="0" w:line="276" w:lineRule="auto"/>
        <w:jc w:val="both"/>
        <w:rPr>
          <w:rFonts w:ascii="Trebuchet MS" w:hAnsi="Trebuchet MS"/>
          <w:lang w:val="ro-RO"/>
        </w:rPr>
      </w:pPr>
      <w:r>
        <w:rPr>
          <w:rFonts w:ascii="Trebuchet MS" w:hAnsi="Trebuchet MS"/>
          <w:lang w:val="ro-RO"/>
        </w:rPr>
        <w:t>Orice cheltuială care nu îndeplinește aceste condiții, care nu are legătură directă cu activitatea finanțată sau care se încadrează în categoriile neeligibile de mai jos va fi considerată neeligibilă.</w:t>
      </w:r>
    </w:p>
    <w:p w14:paraId="40AEDB6D" w14:textId="77777777" w:rsidR="008470A2" w:rsidRPr="008470A2" w:rsidRDefault="008470A2" w:rsidP="008470A2">
      <w:pPr>
        <w:spacing w:after="0" w:line="276" w:lineRule="auto"/>
        <w:jc w:val="both"/>
        <w:rPr>
          <w:rFonts w:ascii="Trebuchet MS" w:hAnsi="Trebuchet MS"/>
          <w:lang w:val="ro-RO"/>
        </w:rPr>
      </w:pPr>
    </w:p>
    <w:p w14:paraId="0E998CA6" w14:textId="77777777" w:rsidR="008470A2" w:rsidRPr="008470A2" w:rsidRDefault="008470A2" w:rsidP="008470A2">
      <w:pPr>
        <w:spacing w:after="0" w:line="276" w:lineRule="auto"/>
        <w:jc w:val="both"/>
        <w:rPr>
          <w:rFonts w:ascii="Trebuchet MS" w:hAnsi="Trebuchet MS"/>
          <w:lang w:val="ro-RO"/>
        </w:rPr>
      </w:pPr>
    </w:p>
    <w:p w14:paraId="53AAB086" w14:textId="77777777" w:rsidR="008470A2" w:rsidRPr="008470A2" w:rsidRDefault="008470A2" w:rsidP="008470A2">
      <w:pPr>
        <w:spacing w:after="0" w:line="276" w:lineRule="auto"/>
        <w:jc w:val="both"/>
        <w:rPr>
          <w:rFonts w:ascii="Trebuchet MS" w:hAnsi="Trebuchet MS"/>
          <w:lang w:val="ro-RO"/>
        </w:rPr>
      </w:pPr>
    </w:p>
    <w:p w14:paraId="6067AE94" w14:textId="77777777" w:rsidR="008470A2" w:rsidRPr="008470A2" w:rsidRDefault="008470A2" w:rsidP="008470A2">
      <w:pPr>
        <w:spacing w:after="0" w:line="276" w:lineRule="auto"/>
        <w:jc w:val="both"/>
        <w:rPr>
          <w:rFonts w:ascii="Trebuchet MS" w:hAnsi="Trebuchet MS"/>
          <w:lang w:val="ro-RO"/>
        </w:rPr>
      </w:pPr>
    </w:p>
    <w:p w14:paraId="3BE730E6" w14:textId="77777777" w:rsidR="008470A2" w:rsidRPr="008470A2" w:rsidRDefault="008470A2" w:rsidP="008470A2">
      <w:pPr>
        <w:spacing w:after="0" w:line="276" w:lineRule="auto"/>
        <w:jc w:val="both"/>
        <w:rPr>
          <w:rFonts w:ascii="Trebuchet MS" w:hAnsi="Trebuchet MS"/>
          <w:lang w:val="ro-RO"/>
        </w:rPr>
      </w:pPr>
    </w:p>
    <w:p w14:paraId="0860F034" w14:textId="77777777" w:rsidR="008470A2" w:rsidRPr="008470A2" w:rsidRDefault="008470A2" w:rsidP="008470A2">
      <w:pPr>
        <w:spacing w:after="0" w:line="276" w:lineRule="auto"/>
        <w:jc w:val="both"/>
        <w:rPr>
          <w:rFonts w:ascii="Trebuchet MS" w:hAnsi="Trebuchet MS"/>
          <w:lang w:val="ro-RO"/>
        </w:rPr>
      </w:pPr>
    </w:p>
    <w:p w14:paraId="31ACBC66" w14:textId="77777777" w:rsidR="008470A2" w:rsidRPr="008470A2" w:rsidRDefault="008470A2" w:rsidP="008470A2">
      <w:pPr>
        <w:spacing w:after="0" w:line="276" w:lineRule="auto"/>
        <w:jc w:val="both"/>
        <w:rPr>
          <w:rFonts w:ascii="Trebuchet MS" w:hAnsi="Trebuchet MS"/>
          <w:lang w:val="ro-RO"/>
        </w:rPr>
      </w:pPr>
    </w:p>
    <w:p w14:paraId="6BC285AA" w14:textId="77777777" w:rsidR="008470A2" w:rsidRPr="008470A2" w:rsidRDefault="008470A2" w:rsidP="008470A2">
      <w:pPr>
        <w:spacing w:after="0" w:line="276" w:lineRule="auto"/>
        <w:jc w:val="both"/>
        <w:rPr>
          <w:rFonts w:ascii="Trebuchet MS" w:hAnsi="Trebuchet MS"/>
          <w:lang w:val="ro-RO"/>
        </w:rPr>
      </w:pPr>
    </w:p>
    <w:p w14:paraId="1EE24A27" w14:textId="77777777" w:rsidR="008470A2" w:rsidRPr="008470A2" w:rsidRDefault="008470A2" w:rsidP="008470A2">
      <w:pPr>
        <w:spacing w:after="0" w:line="276" w:lineRule="auto"/>
        <w:jc w:val="both"/>
        <w:rPr>
          <w:rFonts w:ascii="Trebuchet MS" w:hAnsi="Trebuchet MS"/>
          <w:lang w:val="ro-RO"/>
        </w:rPr>
      </w:pPr>
    </w:p>
    <w:p w14:paraId="384DBF0E" w14:textId="77777777" w:rsidR="008470A2" w:rsidRPr="008470A2" w:rsidRDefault="008470A2" w:rsidP="008470A2">
      <w:pPr>
        <w:spacing w:after="0" w:line="276" w:lineRule="auto"/>
        <w:jc w:val="both"/>
        <w:rPr>
          <w:rFonts w:ascii="Trebuchet MS" w:hAnsi="Trebuchet MS"/>
          <w:lang w:val="ro-RO"/>
        </w:rPr>
      </w:pPr>
    </w:p>
    <w:p w14:paraId="3FF7C08B" w14:textId="77777777" w:rsidR="008470A2" w:rsidRPr="008470A2" w:rsidRDefault="008470A2" w:rsidP="008470A2">
      <w:pPr>
        <w:spacing w:after="0" w:line="276" w:lineRule="auto"/>
        <w:jc w:val="both"/>
        <w:rPr>
          <w:rFonts w:ascii="Trebuchet MS" w:hAnsi="Trebuchet MS"/>
          <w:lang w:val="ro-RO"/>
        </w:rPr>
      </w:pPr>
    </w:p>
    <w:p w14:paraId="56A0DFBC" w14:textId="7D452AC6" w:rsidR="008470A2" w:rsidRPr="008470A2" w:rsidRDefault="008470A2" w:rsidP="008470A2">
      <w:pPr>
        <w:spacing w:after="0" w:line="276" w:lineRule="auto"/>
        <w:jc w:val="both"/>
        <w:rPr>
          <w:rFonts w:ascii="Trebuchet MS" w:hAnsi="Trebuchet MS"/>
          <w:b/>
          <w:bCs/>
          <w:lang w:val="ro-RO"/>
        </w:rPr>
      </w:pPr>
      <w:r>
        <w:rPr>
          <w:rFonts w:ascii="Trebuchet MS" w:hAnsi="Trebuchet MS"/>
          <w:b/>
          <w:bCs/>
          <w:lang w:val="ro-RO"/>
        </w:rPr>
        <w:lastRenderedPageBreak/>
        <w:t>Lista de cheltuieli neeligibile (orientativa, nu limitativa):</w:t>
      </w:r>
    </w:p>
    <w:p w14:paraId="40013A97" w14:textId="77777777" w:rsidR="008470A2" w:rsidRPr="008470A2" w:rsidRDefault="008470A2" w:rsidP="008470A2">
      <w:pPr>
        <w:spacing w:after="0" w:line="276" w:lineRule="auto"/>
        <w:jc w:val="both"/>
        <w:rPr>
          <w:rFonts w:ascii="Trebuchet MS" w:hAnsi="Trebuchet MS"/>
          <w:b/>
          <w:bCs/>
          <w:lang w:val="ro-RO"/>
        </w:rPr>
      </w:pPr>
    </w:p>
    <w:p w14:paraId="7EBC616A" w14:textId="6ED79683" w:rsidR="008470A2" w:rsidRPr="005B5562" w:rsidRDefault="005B5562" w:rsidP="008470A2">
      <w:pPr>
        <w:spacing w:after="120" w:line="276" w:lineRule="auto"/>
        <w:jc w:val="both"/>
        <w:rPr>
          <w:rFonts w:ascii="Trebuchet MS" w:eastAsia="Calibri" w:hAnsi="Trebuchet MS" w:cs="Arial"/>
          <w:kern w:val="0"/>
          <w:lang w:val="ro-RO"/>
          <w14:ligatures w14:val="none"/>
        </w:rPr>
      </w:pPr>
      <w:r>
        <w:rPr>
          <w:rFonts w:ascii="Trebuchet MS" w:hAnsi="Trebuchet MS"/>
          <w:lang w:val="it-IT"/>
        </w:rPr>
        <w:t>Nu sunt eligibile cheltuielile prevăzute la art. 10 din HG nr. 873/2022 și la cap. 5.3.3 din Ghidul Solicitantului – Condiții Specifice, precum și următoarele</w:t>
      </w:r>
      <w:r>
        <w:rPr>
          <w:rFonts w:ascii="Trebuchet MS" w:eastAsia="Calibri" w:hAnsi="Trebuchet MS" w:cs="Arial"/>
          <w:kern w:val="0"/>
          <w:lang w:val="ro-RO"/>
          <w14:ligatures w14:val="non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459"/>
        <w:gridCol w:w="2390"/>
        <w:gridCol w:w="3082"/>
        <w:gridCol w:w="2419"/>
      </w:tblGrid>
      <w:tr w:rsidR="008470A2" w:rsidRPr="008470A2" w14:paraId="7E158777" w14:textId="77777777" w:rsidTr="008470A2">
        <w:trPr>
          <w:cantSplit/>
          <w:tblHeader/>
          <w:tblCellSpacing w:w="15" w:type="dxa"/>
        </w:trPr>
        <w:tc>
          <w:tcPr>
            <w:tcW w:w="0" w:type="auto"/>
            <w:shd w:val="clear" w:color="auto" w:fill="D9D9D9" w:themeFill="background1" w:themeFillShade="D9"/>
            <w:vAlign w:val="center"/>
            <w:hideMark/>
          </w:tcPr>
          <w:p w14:paraId="1BF21A9E" w14:textId="77777777" w:rsidR="008470A2" w:rsidRPr="008470A2" w:rsidRDefault="008470A2" w:rsidP="008470A2">
            <w:pPr>
              <w:spacing w:after="120" w:line="276" w:lineRule="auto"/>
              <w:jc w:val="center"/>
              <w:rPr>
                <w:rFonts w:ascii="Trebuchet MS" w:eastAsia="Calibri" w:hAnsi="Trebuchet MS" w:cs="Arial"/>
                <w:b/>
                <w:bCs/>
                <w:kern w:val="0"/>
                <w:sz w:val="20"/>
                <w:szCs w:val="20"/>
                <w:lang w:val="ro-RO"/>
                <w14:ligatures w14:val="none"/>
              </w:rPr>
            </w:pPr>
            <w:r>
              <w:rPr>
                <w:rFonts w:ascii="Trebuchet MS" w:eastAsia="Calibri" w:hAnsi="Trebuchet MS" w:cs="Arial"/>
                <w:b/>
                <w:bCs/>
                <w:kern w:val="0"/>
                <w:sz w:val="20"/>
                <w:szCs w:val="20"/>
                <w:lang w:val="ro-RO"/>
                <w14:ligatures w14:val="none"/>
              </w:rPr>
              <w:t>Categorie</w:t>
            </w:r>
          </w:p>
        </w:tc>
        <w:tc>
          <w:tcPr>
            <w:tcW w:w="0" w:type="auto"/>
            <w:shd w:val="clear" w:color="auto" w:fill="D9D9D9" w:themeFill="background1" w:themeFillShade="D9"/>
            <w:vAlign w:val="center"/>
            <w:hideMark/>
          </w:tcPr>
          <w:p w14:paraId="31F3E3A9" w14:textId="77777777" w:rsidR="008470A2" w:rsidRPr="008470A2" w:rsidRDefault="008470A2" w:rsidP="008470A2">
            <w:pPr>
              <w:spacing w:after="120" w:line="276" w:lineRule="auto"/>
              <w:jc w:val="center"/>
              <w:rPr>
                <w:rFonts w:ascii="Trebuchet MS" w:eastAsia="Calibri" w:hAnsi="Trebuchet MS" w:cs="Arial"/>
                <w:b/>
                <w:bCs/>
                <w:kern w:val="0"/>
                <w:sz w:val="20"/>
                <w:szCs w:val="20"/>
                <w:lang w:val="ro-RO"/>
                <w14:ligatures w14:val="none"/>
              </w:rPr>
            </w:pPr>
            <w:r>
              <w:rPr>
                <w:rFonts w:ascii="Trebuchet MS" w:eastAsia="Calibri" w:hAnsi="Trebuchet MS" w:cs="Arial"/>
                <w:b/>
                <w:bCs/>
                <w:kern w:val="0"/>
                <w:sz w:val="20"/>
                <w:szCs w:val="20"/>
                <w:lang w:val="ro-RO"/>
                <w14:ligatures w14:val="none"/>
              </w:rPr>
              <w:t>Subcategorie</w:t>
            </w:r>
          </w:p>
        </w:tc>
        <w:tc>
          <w:tcPr>
            <w:tcW w:w="0" w:type="auto"/>
            <w:shd w:val="clear" w:color="auto" w:fill="D9D9D9" w:themeFill="background1" w:themeFillShade="D9"/>
            <w:vAlign w:val="center"/>
            <w:hideMark/>
          </w:tcPr>
          <w:p w14:paraId="74719013" w14:textId="77777777" w:rsidR="008470A2" w:rsidRPr="008470A2" w:rsidRDefault="008470A2" w:rsidP="008470A2">
            <w:pPr>
              <w:spacing w:after="120" w:line="276" w:lineRule="auto"/>
              <w:jc w:val="center"/>
              <w:rPr>
                <w:rFonts w:ascii="Trebuchet MS" w:eastAsia="Calibri" w:hAnsi="Trebuchet MS" w:cs="Arial"/>
                <w:b/>
                <w:bCs/>
                <w:kern w:val="0"/>
                <w:sz w:val="20"/>
                <w:szCs w:val="20"/>
                <w:lang w:val="ro-RO"/>
                <w14:ligatures w14:val="none"/>
              </w:rPr>
            </w:pPr>
            <w:r>
              <w:rPr>
                <w:rFonts w:ascii="Trebuchet MS" w:eastAsia="Calibri" w:hAnsi="Trebuchet MS" w:cs="Arial"/>
                <w:b/>
                <w:bCs/>
                <w:kern w:val="0"/>
                <w:sz w:val="20"/>
                <w:szCs w:val="20"/>
                <w:lang w:val="ro-RO"/>
                <w14:ligatures w14:val="none"/>
              </w:rPr>
              <w:t>Descriere/Detalii</w:t>
            </w:r>
          </w:p>
        </w:tc>
        <w:tc>
          <w:tcPr>
            <w:tcW w:w="0" w:type="auto"/>
            <w:shd w:val="clear" w:color="auto" w:fill="D9D9D9" w:themeFill="background1" w:themeFillShade="D9"/>
            <w:vAlign w:val="center"/>
            <w:hideMark/>
          </w:tcPr>
          <w:p w14:paraId="43B12642" w14:textId="77777777" w:rsidR="008470A2" w:rsidRPr="008470A2" w:rsidRDefault="008470A2" w:rsidP="008470A2">
            <w:pPr>
              <w:spacing w:after="120" w:line="276" w:lineRule="auto"/>
              <w:jc w:val="center"/>
              <w:rPr>
                <w:rFonts w:ascii="Trebuchet MS" w:eastAsia="Calibri" w:hAnsi="Trebuchet MS" w:cs="Arial"/>
                <w:b/>
                <w:bCs/>
                <w:kern w:val="0"/>
                <w:sz w:val="20"/>
                <w:szCs w:val="20"/>
                <w:lang w:val="ro-RO"/>
                <w14:ligatures w14:val="none"/>
              </w:rPr>
            </w:pPr>
            <w:r>
              <w:rPr>
                <w:rFonts w:ascii="Trebuchet MS" w:eastAsia="Calibri" w:hAnsi="Trebuchet MS" w:cs="Arial"/>
                <w:b/>
                <w:bCs/>
                <w:kern w:val="0"/>
                <w:sz w:val="20"/>
                <w:szCs w:val="20"/>
                <w:lang w:val="ro-RO"/>
                <w14:ligatures w14:val="none"/>
              </w:rPr>
              <w:t>Observații</w:t>
            </w:r>
          </w:p>
        </w:tc>
      </w:tr>
      <w:tr w:rsidR="008470A2" w:rsidRPr="008470A2" w14:paraId="1BDEB8FF" w14:textId="77777777" w:rsidTr="005B5562">
        <w:trPr>
          <w:cantSplit/>
          <w:trHeight w:val="1458"/>
          <w:tblCellSpacing w:w="15" w:type="dxa"/>
        </w:trPr>
        <w:tc>
          <w:tcPr>
            <w:tcW w:w="0" w:type="auto"/>
            <w:vAlign w:val="center"/>
            <w:hideMark/>
          </w:tcPr>
          <w:p w14:paraId="1AFAEA1A"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Cheltuieli de natură personală</w:t>
            </w:r>
          </w:p>
        </w:tc>
        <w:tc>
          <w:tcPr>
            <w:tcW w:w="0" w:type="auto"/>
            <w:vAlign w:val="center"/>
            <w:hideMark/>
          </w:tcPr>
          <w:p w14:paraId="26F3A351"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 personale, divertisment, costuri ce nu sunt conectate cu activitatea proiectului</w:t>
            </w:r>
          </w:p>
        </w:tc>
        <w:tc>
          <w:tcPr>
            <w:tcW w:w="0" w:type="auto"/>
            <w:vAlign w:val="center"/>
            <w:hideMark/>
          </w:tcPr>
          <w:p w14:paraId="6BCD12EB"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 care au caracter personal (ex.: cheltuieli de divertisment, abonamente personale, cheltuieli vestimentare, etc.)</w:t>
            </w:r>
          </w:p>
        </w:tc>
        <w:tc>
          <w:tcPr>
            <w:tcW w:w="0" w:type="auto"/>
            <w:vAlign w:val="center"/>
            <w:hideMark/>
          </w:tcPr>
          <w:p w14:paraId="355BBFED"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Nu sunt justificabile în contextul implementării activităților proiectului</w:t>
            </w:r>
          </w:p>
        </w:tc>
      </w:tr>
      <w:tr w:rsidR="008470A2" w:rsidRPr="005B5562" w14:paraId="590D1F1C" w14:textId="77777777" w:rsidTr="008470A2">
        <w:trPr>
          <w:cantSplit/>
          <w:tblCellSpacing w:w="15" w:type="dxa"/>
        </w:trPr>
        <w:tc>
          <w:tcPr>
            <w:tcW w:w="0" w:type="auto"/>
            <w:vAlign w:val="center"/>
            <w:hideMark/>
          </w:tcPr>
          <w:p w14:paraId="4A6BD691"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Cheltuieli financiare</w:t>
            </w:r>
          </w:p>
        </w:tc>
        <w:tc>
          <w:tcPr>
            <w:tcW w:w="0" w:type="auto"/>
            <w:vAlign w:val="center"/>
            <w:hideMark/>
          </w:tcPr>
          <w:p w14:paraId="261360E7" w14:textId="21FB164B" w:rsidR="008470A2" w:rsidRPr="008470A2" w:rsidRDefault="005B556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Dobânzi debitoare (art. 64 din Reg. (UE) 2021/1060), penalități de întârziere, comisioane aferente creditelor</w:t>
            </w:r>
          </w:p>
        </w:tc>
        <w:tc>
          <w:tcPr>
            <w:tcW w:w="0" w:type="auto"/>
            <w:vAlign w:val="center"/>
            <w:hideMark/>
          </w:tcPr>
          <w:p w14:paraId="50794ACB"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Costuri financiare (dobânzi, penalități de întârziere, comisioane de credit) care nu au legătură directă cu desfășurarea activităților proiectului</w:t>
            </w:r>
          </w:p>
        </w:tc>
        <w:tc>
          <w:tcPr>
            <w:tcW w:w="0" w:type="auto"/>
            <w:vAlign w:val="center"/>
            <w:hideMark/>
          </w:tcPr>
          <w:p w14:paraId="58373585" w14:textId="77777777" w:rsidR="008470A2" w:rsidRPr="008470A2" w:rsidRDefault="008470A2" w:rsidP="005B5562">
            <w:pPr>
              <w:spacing w:after="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Acestea se consideră costuri financiare și sunt excluse din finanțare</w:t>
            </w:r>
          </w:p>
        </w:tc>
      </w:tr>
      <w:tr w:rsidR="008470A2" w:rsidRPr="005B5562" w14:paraId="16784CF0" w14:textId="77777777" w:rsidTr="008470A2">
        <w:trPr>
          <w:cantSplit/>
          <w:tblCellSpacing w:w="15" w:type="dxa"/>
        </w:trPr>
        <w:tc>
          <w:tcPr>
            <w:tcW w:w="0" w:type="auto"/>
            <w:vAlign w:val="center"/>
            <w:hideMark/>
          </w:tcPr>
          <w:p w14:paraId="76115A68"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Cheltuieli cu active imobiliare</w:t>
            </w:r>
          </w:p>
        </w:tc>
        <w:tc>
          <w:tcPr>
            <w:tcW w:w="0" w:type="auto"/>
            <w:vAlign w:val="center"/>
            <w:hideMark/>
          </w:tcPr>
          <w:p w14:paraId="12C63029" w14:textId="4249532E" w:rsidR="008470A2" w:rsidRPr="008470A2" w:rsidRDefault="005B556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Achiziția de terenuri, clădiri și alte imobile, precum și lucrările de construcții</w:t>
            </w:r>
          </w:p>
        </w:tc>
        <w:tc>
          <w:tcPr>
            <w:tcW w:w="0" w:type="auto"/>
            <w:vAlign w:val="center"/>
            <w:hideMark/>
          </w:tcPr>
          <w:p w14:paraId="5832496B" w14:textId="00053760" w:rsidR="008470A2" w:rsidRPr="008470A2" w:rsidRDefault="005B556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Terenuri, clădiri și alte imobile, precum și lucrările de construcții</w:t>
            </w:r>
          </w:p>
        </w:tc>
        <w:tc>
          <w:tcPr>
            <w:tcW w:w="0" w:type="auto"/>
            <w:vAlign w:val="center"/>
            <w:hideMark/>
          </w:tcPr>
          <w:p w14:paraId="1C377460"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Se consideră investiții de capital care nu pot fi decontate ca și cheltuieli eligibile</w:t>
            </w:r>
          </w:p>
        </w:tc>
      </w:tr>
      <w:tr w:rsidR="008470A2" w:rsidRPr="005B5562" w14:paraId="1BC0E320" w14:textId="77777777" w:rsidTr="008470A2">
        <w:trPr>
          <w:cantSplit/>
          <w:tblCellSpacing w:w="15" w:type="dxa"/>
        </w:trPr>
        <w:tc>
          <w:tcPr>
            <w:tcW w:w="0" w:type="auto"/>
            <w:vAlign w:val="center"/>
            <w:hideMark/>
          </w:tcPr>
          <w:p w14:paraId="202C404C"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Cheltuieli nejustificate</w:t>
            </w:r>
          </w:p>
        </w:tc>
        <w:tc>
          <w:tcPr>
            <w:tcW w:w="0" w:type="auto"/>
            <w:vAlign w:val="center"/>
            <w:hideMark/>
          </w:tcPr>
          <w:p w14:paraId="5CAB646C"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 fără documente justificative, costuri necontrolate</w:t>
            </w:r>
          </w:p>
        </w:tc>
        <w:tc>
          <w:tcPr>
            <w:tcW w:w="0" w:type="auto"/>
            <w:vAlign w:val="center"/>
            <w:hideMark/>
          </w:tcPr>
          <w:p w14:paraId="363861A5"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Orice cheltuieli care nu sunt susținute de documente (ofertă, factură, contract) sau care nu corespund activităților prevăzute în proiect</w:t>
            </w:r>
          </w:p>
        </w:tc>
        <w:tc>
          <w:tcPr>
            <w:tcW w:w="0" w:type="auto"/>
            <w:vAlign w:val="center"/>
            <w:hideMark/>
          </w:tcPr>
          <w:p w14:paraId="2C06CBB0"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Fără documentație corespunzătoare, aceste cheltuieli vor fi excluse</w:t>
            </w:r>
          </w:p>
        </w:tc>
      </w:tr>
      <w:tr w:rsidR="008470A2" w:rsidRPr="005B5562" w14:paraId="47F57008" w14:textId="77777777" w:rsidTr="008470A2">
        <w:trPr>
          <w:cantSplit/>
          <w:tblCellSpacing w:w="15" w:type="dxa"/>
        </w:trPr>
        <w:tc>
          <w:tcPr>
            <w:tcW w:w="0" w:type="auto"/>
            <w:vAlign w:val="center"/>
            <w:hideMark/>
          </w:tcPr>
          <w:p w14:paraId="727C3395"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TVA recuperabilă</w:t>
            </w:r>
          </w:p>
        </w:tc>
        <w:tc>
          <w:tcPr>
            <w:tcW w:w="0" w:type="auto"/>
            <w:vAlign w:val="center"/>
            <w:hideMark/>
          </w:tcPr>
          <w:p w14:paraId="21D3CD3F"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TVA aferentă cheltuielilor efectuate de întreprinderile sociale înregistrate în scopuri de TVA</w:t>
            </w:r>
          </w:p>
        </w:tc>
        <w:tc>
          <w:tcPr>
            <w:tcW w:w="0" w:type="auto"/>
            <w:vAlign w:val="center"/>
            <w:hideMark/>
          </w:tcPr>
          <w:p w14:paraId="5575B5F0"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TVA recuperată pe baza deconturilor/declarațiilor depuse la ANAF nu este eligibilă (Ghidul Solicitantului – Condiții Specifice, cap. 5.3.3)</w:t>
            </w:r>
          </w:p>
        </w:tc>
        <w:tc>
          <w:tcPr>
            <w:tcW w:w="0" w:type="auto"/>
            <w:vAlign w:val="center"/>
            <w:hideMark/>
          </w:tcPr>
          <w:p w14:paraId="1FD1A00A"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Pentru întreprinderile sociale neînregistrate în scopuri de TVA, TVA aferentă cheltuielilor eligibile este eligibilă și se bugetează în cadrul ajutorului de minimis</w:t>
            </w:r>
          </w:p>
        </w:tc>
      </w:tr>
      <w:tr w:rsidR="008470A2" w:rsidRPr="005B5562" w14:paraId="67BB57CF" w14:textId="77777777" w:rsidTr="008470A2">
        <w:trPr>
          <w:cantSplit/>
          <w:tblCellSpacing w:w="15" w:type="dxa"/>
        </w:trPr>
        <w:tc>
          <w:tcPr>
            <w:tcW w:w="0" w:type="auto"/>
            <w:vAlign w:val="center"/>
            <w:hideMark/>
          </w:tcPr>
          <w:p w14:paraId="2DD7B8ED"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lastRenderedPageBreak/>
              <w:t>Bunuri second-hand</w:t>
            </w:r>
          </w:p>
        </w:tc>
        <w:tc>
          <w:tcPr>
            <w:tcW w:w="0" w:type="auto"/>
            <w:vAlign w:val="center"/>
            <w:hideMark/>
          </w:tcPr>
          <w:p w14:paraId="47DE23A7"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Achiziția de echipamente, autovehicule sau mijloace de transport second-hand</w:t>
            </w:r>
          </w:p>
        </w:tc>
        <w:tc>
          <w:tcPr>
            <w:tcW w:w="0" w:type="auto"/>
            <w:vAlign w:val="center"/>
            <w:hideMark/>
          </w:tcPr>
          <w:p w14:paraId="300AA96B"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Toate bunurile achiziționate din ajutorul de minimis și din cofinanțarea proprie trebuie să fie noi (art. 10 lit. f) din HG nr. 873/2022)</w:t>
            </w:r>
          </w:p>
        </w:tc>
        <w:tc>
          <w:tcPr>
            <w:tcW w:w="0" w:type="auto"/>
            <w:vAlign w:val="center"/>
            <w:hideMark/>
          </w:tcPr>
          <w:p w14:paraId="241228FE"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Excepție: bunurile utilizate în baza unui contract de leasing operațional</w:t>
            </w:r>
          </w:p>
        </w:tc>
      </w:tr>
      <w:tr w:rsidR="008470A2" w:rsidRPr="005B5562" w14:paraId="363229B1" w14:textId="77777777" w:rsidTr="008470A2">
        <w:trPr>
          <w:cantSplit/>
          <w:tblCellSpacing w:w="15" w:type="dxa"/>
        </w:trPr>
        <w:tc>
          <w:tcPr>
            <w:tcW w:w="0" w:type="auto"/>
            <w:vAlign w:val="center"/>
            <w:hideMark/>
          </w:tcPr>
          <w:p w14:paraId="1924A19A"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Vehicule exceptate</w:t>
            </w:r>
          </w:p>
        </w:tc>
        <w:tc>
          <w:tcPr>
            <w:tcW w:w="0" w:type="auto"/>
            <w:vAlign w:val="center"/>
            <w:hideMark/>
          </w:tcPr>
          <w:p w14:paraId="2D585F06"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Vehicule de transport rutier de mărfuri; autovehicule destinate transportului de persoane (administrative, protocol) sau pentru activități care nu fac parte din activitatea de bază a întreprinderii</w:t>
            </w:r>
          </w:p>
        </w:tc>
        <w:tc>
          <w:tcPr>
            <w:tcW w:w="0" w:type="auto"/>
            <w:vAlign w:val="center"/>
            <w:hideMark/>
          </w:tcPr>
          <w:p w14:paraId="324226FF"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Domenii și achiziții exceptate de la schema de ajutor de minimis, conform cap. 5 din Metodologia de evaluare și selecție a planurilor de afaceri</w:t>
            </w:r>
          </w:p>
        </w:tc>
        <w:tc>
          <w:tcPr>
            <w:tcW w:w="0" w:type="auto"/>
            <w:vAlign w:val="center"/>
            <w:hideMark/>
          </w:tcPr>
          <w:p w14:paraId="2EDED8DC"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Se verifică în etapa de evaluare administrativă și de eligibilitate (Faza I)</w:t>
            </w:r>
          </w:p>
        </w:tc>
      </w:tr>
      <w:tr w:rsidR="008470A2" w:rsidRPr="005B5562" w14:paraId="12A79694" w14:textId="77777777" w:rsidTr="008470A2">
        <w:trPr>
          <w:cantSplit/>
          <w:tblCellSpacing w:w="15" w:type="dxa"/>
        </w:trPr>
        <w:tc>
          <w:tcPr>
            <w:tcW w:w="0" w:type="auto"/>
            <w:vAlign w:val="center"/>
            <w:hideMark/>
          </w:tcPr>
          <w:p w14:paraId="3D7646DD"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Cheltuieli efectuate în afara perioadei eligibile</w:t>
            </w:r>
          </w:p>
        </w:tc>
        <w:tc>
          <w:tcPr>
            <w:tcW w:w="0" w:type="auto"/>
            <w:vAlign w:val="center"/>
            <w:hideMark/>
          </w:tcPr>
          <w:p w14:paraId="7D8964C6"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 efectuate înainte de semnarea contractului de subvenție sau după încheierea perioadei de implementare a planului de afaceri</w:t>
            </w:r>
          </w:p>
        </w:tc>
        <w:tc>
          <w:tcPr>
            <w:tcW w:w="0" w:type="auto"/>
            <w:vAlign w:val="center"/>
            <w:hideMark/>
          </w:tcPr>
          <w:p w14:paraId="1AEBEDA1"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Sunt eligibile numai cheltuielile aferente activităților inițiate după semnarea contractului de subvenție și efectuate în perioada de implementare a planului de afaceri</w:t>
            </w:r>
          </w:p>
        </w:tc>
        <w:tc>
          <w:tcPr>
            <w:tcW w:w="0" w:type="auto"/>
            <w:vAlign w:val="center"/>
            <w:hideMark/>
          </w:tcPr>
          <w:p w14:paraId="6807E9F7"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Excepție: taxele pentru înființarea întreprinderii sociale, efectuate între selecția planului de afaceri și semnarea contractului de subvenție, decontate după semnarea acestuia</w:t>
            </w:r>
          </w:p>
        </w:tc>
      </w:tr>
      <w:tr w:rsidR="008470A2" w:rsidRPr="005B5562" w14:paraId="7A39B621" w14:textId="77777777" w:rsidTr="008470A2">
        <w:trPr>
          <w:cantSplit/>
          <w:tblCellSpacing w:w="15" w:type="dxa"/>
        </w:trPr>
        <w:tc>
          <w:tcPr>
            <w:tcW w:w="0" w:type="auto"/>
            <w:vAlign w:val="center"/>
            <w:hideMark/>
          </w:tcPr>
          <w:p w14:paraId="42486A2E"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Dubla finanțare</w:t>
            </w:r>
          </w:p>
        </w:tc>
        <w:tc>
          <w:tcPr>
            <w:tcW w:w="0" w:type="auto"/>
            <w:vAlign w:val="center"/>
            <w:hideMark/>
          </w:tcPr>
          <w:p w14:paraId="6F1E4C50"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 finanțate sau decontate din alte surse publice (naționale sau europene), inclusiv cheltuielile salariale subvenționate în baza Legii nr. 76/2002</w:t>
            </w:r>
          </w:p>
        </w:tc>
        <w:tc>
          <w:tcPr>
            <w:tcW w:w="0" w:type="auto"/>
            <w:vAlign w:val="center"/>
            <w:hideMark/>
          </w:tcPr>
          <w:p w14:paraId="78627E96"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Aceeași cheltuială nu poate fi decontată de două ori; un angajat nu poate fi plătit simultan din proiect și din subvenția acordată în baza Legii nr. 76/2002</w:t>
            </w:r>
          </w:p>
        </w:tc>
        <w:tc>
          <w:tcPr>
            <w:tcW w:w="0" w:type="auto"/>
            <w:vAlign w:val="center"/>
            <w:hideMark/>
          </w:tcPr>
          <w:p w14:paraId="759F457D"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Cheltuielile salariale decontate prin ANOFM nu se includ în bugetul planului de afaceri</w:t>
            </w:r>
          </w:p>
        </w:tc>
      </w:tr>
      <w:tr w:rsidR="008470A2" w:rsidRPr="005B5562" w14:paraId="18F42DD0" w14:textId="77777777" w:rsidTr="008470A2">
        <w:trPr>
          <w:cantSplit/>
          <w:tblCellSpacing w:w="15" w:type="dxa"/>
        </w:trPr>
        <w:tc>
          <w:tcPr>
            <w:tcW w:w="0" w:type="auto"/>
            <w:vAlign w:val="center"/>
            <w:hideMark/>
          </w:tcPr>
          <w:p w14:paraId="130D1B95"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Plăți în numerar</w:t>
            </w:r>
          </w:p>
        </w:tc>
        <w:tc>
          <w:tcPr>
            <w:tcW w:w="0" w:type="auto"/>
            <w:vAlign w:val="center"/>
            <w:hideMark/>
          </w:tcPr>
          <w:p w14:paraId="78E7E5E3"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Plăți efectuate în numerar</w:t>
            </w:r>
          </w:p>
        </w:tc>
        <w:tc>
          <w:tcPr>
            <w:tcW w:w="0" w:type="auto"/>
            <w:vAlign w:val="center"/>
            <w:hideMark/>
          </w:tcPr>
          <w:p w14:paraId="736B2F98"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Toate plățile se efectuează exclusiv prin virament, din contul bancar dedicat (cont escrow/cont de management de grant cu dublă semnătură)</w:t>
            </w:r>
          </w:p>
        </w:tc>
        <w:tc>
          <w:tcPr>
            <w:tcW w:w="0" w:type="auto"/>
            <w:vAlign w:val="center"/>
            <w:hideMark/>
          </w:tcPr>
          <w:p w14:paraId="720DDD6A"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Plățile în numerar nu se decontează din ajutorul de minimis</w:t>
            </w:r>
          </w:p>
        </w:tc>
      </w:tr>
      <w:tr w:rsidR="008470A2" w:rsidRPr="005B5562" w14:paraId="25091D32" w14:textId="77777777" w:rsidTr="008470A2">
        <w:trPr>
          <w:cantSplit/>
          <w:tblCellSpacing w:w="15" w:type="dxa"/>
        </w:trPr>
        <w:tc>
          <w:tcPr>
            <w:tcW w:w="0" w:type="auto"/>
            <w:vAlign w:val="center"/>
            <w:hideMark/>
          </w:tcPr>
          <w:p w14:paraId="6A8E333E"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lastRenderedPageBreak/>
              <w:t>Cheltuieli peste bugetul aprobat</w:t>
            </w:r>
          </w:p>
        </w:tc>
        <w:tc>
          <w:tcPr>
            <w:tcW w:w="0" w:type="auto"/>
            <w:vAlign w:val="center"/>
            <w:hideMark/>
          </w:tcPr>
          <w:p w14:paraId="6C50B194"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Sume care depășesc valoarea aprobată în bugetul planului de afaceri, pe total sau pe linie bugetară</w:t>
            </w:r>
          </w:p>
        </w:tc>
        <w:tc>
          <w:tcPr>
            <w:tcW w:w="0" w:type="auto"/>
            <w:vAlign w:val="center"/>
            <w:hideMark/>
          </w:tcPr>
          <w:p w14:paraId="6EB975B8"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Diferențele se suportă de beneficiarul ajutorului de minimis din surse proprii</w:t>
            </w:r>
          </w:p>
        </w:tc>
        <w:tc>
          <w:tcPr>
            <w:tcW w:w="0" w:type="auto"/>
            <w:vAlign w:val="center"/>
            <w:hideMark/>
          </w:tcPr>
          <w:p w14:paraId="5BE616E4"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Modificarea bugetului se poate face numai prin act adițional la contractul de subvenție</w:t>
            </w:r>
          </w:p>
        </w:tc>
      </w:tr>
      <w:tr w:rsidR="008470A2" w:rsidRPr="005B5562" w14:paraId="499EB601" w14:textId="77777777" w:rsidTr="008470A2">
        <w:trPr>
          <w:cantSplit/>
          <w:tblCellSpacing w:w="15" w:type="dxa"/>
        </w:trPr>
        <w:tc>
          <w:tcPr>
            <w:tcW w:w="0" w:type="auto"/>
            <w:vAlign w:val="center"/>
            <w:hideMark/>
          </w:tcPr>
          <w:p w14:paraId="51D60157"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b/>
                <w:bCs/>
                <w:kern w:val="0"/>
                <w:sz w:val="20"/>
                <w:szCs w:val="20"/>
                <w:lang w:val="ro-RO"/>
                <w14:ligatures w14:val="none"/>
              </w:rPr>
              <w:t>Alte cheltuieli neeligibile</w:t>
            </w:r>
          </w:p>
        </w:tc>
        <w:tc>
          <w:tcPr>
            <w:tcW w:w="0" w:type="auto"/>
            <w:vAlign w:val="center"/>
            <w:hideMark/>
          </w:tcPr>
          <w:p w14:paraId="19FE41B9" w14:textId="77777777" w:rsidR="008470A2" w:rsidRPr="008470A2" w:rsidRDefault="008470A2" w:rsidP="008470A2">
            <w:pPr>
              <w:spacing w:after="120" w:line="276" w:lineRule="auto"/>
              <w:rPr>
                <w:rFonts w:ascii="Trebuchet MS" w:eastAsia="Calibri" w:hAnsi="Trebuchet MS" w:cs="Times New Roman"/>
                <w:kern w:val="0"/>
                <w:sz w:val="20"/>
                <w:szCs w:val="20"/>
                <w:lang w:val="ro-RO"/>
                <w14:ligatures w14:val="none"/>
              </w:rPr>
            </w:pPr>
            <w:r>
              <w:rPr>
                <w:rFonts w:ascii="Trebuchet MS" w:eastAsia="Calibri" w:hAnsi="Trebuchet MS" w:cs="Arial"/>
                <w:kern w:val="0"/>
                <w:sz w:val="20"/>
                <w:szCs w:val="20"/>
                <w:lang w:val="ro-RO"/>
                <w14:ligatures w14:val="none"/>
              </w:rPr>
              <w:t>Cheltuieli pentru activități neconforme cu obiectivele proiectului</w:t>
            </w:r>
            <w:r>
              <w:rPr>
                <w:rFonts w:ascii="Trebuchet MS" w:eastAsia="Calibri" w:hAnsi="Trebuchet MS" w:cs="Times New Roman"/>
                <w:kern w:val="0"/>
                <w:sz w:val="20"/>
                <w:szCs w:val="20"/>
                <w:lang w:val="ro-RO"/>
                <w14:ligatures w14:val="none"/>
              </w:rPr>
              <w:t xml:space="preserve"> </w:t>
            </w:r>
          </w:p>
          <w:p w14:paraId="4A2C04E3"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Amenzi, penalități, cheltuieli de judecată și cheltuieli de arbitraj</w:t>
            </w:r>
          </w:p>
          <w:p w14:paraId="2884E147" w14:textId="29CB15F0" w:rsidR="008470A2" w:rsidRPr="005B5562" w:rsidRDefault="008470A2" w:rsidP="008470A2">
            <w:pPr>
              <w:spacing w:after="120" w:line="276" w:lineRule="auto"/>
              <w:rPr>
                <w:rFonts w:ascii="Trebuchet MS" w:eastAsia="Calibri" w:hAnsi="Trebuchet MS" w:cs="Arial"/>
                <w:kern w:val="0"/>
                <w:sz w:val="20"/>
                <w:szCs w:val="20"/>
                <w:lang w:val="it-IT"/>
                <w14:ligatures w14:val="none"/>
              </w:rPr>
            </w:pPr>
            <w:r>
              <w:rPr>
                <w:rFonts w:ascii="Trebuchet MS" w:eastAsia="Calibri" w:hAnsi="Trebuchet MS" w:cs="Arial"/>
                <w:kern w:val="0"/>
                <w:sz w:val="20"/>
                <w:szCs w:val="20"/>
                <w:lang w:val="ro-RO"/>
                <w14:ligatures w14:val="none"/>
              </w:rPr>
              <w:t>Cheltuieli salariale care depasesc valoarea de 216.000 lei l</w:t>
            </w:r>
            <w:r>
              <w:rPr>
                <w:rFonts w:ascii="Trebuchet MS" w:hAnsi="Trebuchet MS"/>
                <w:sz w:val="20"/>
                <w:szCs w:val="20"/>
                <w:lang w:val="it-IT"/>
              </w:rPr>
              <w:t>a nivel de plan de afaceri (minimis + cofinanțare)</w:t>
            </w:r>
          </w:p>
        </w:tc>
        <w:tc>
          <w:tcPr>
            <w:tcW w:w="0" w:type="auto"/>
            <w:vAlign w:val="center"/>
            <w:hideMark/>
          </w:tcPr>
          <w:p w14:paraId="0CC3170B"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Cheltuieli care nu contribuie direct la atingerea obiectivelor schemei (ex.: costuri administrative excesive, cheltuieli de natura unor activități non-proiectuale)</w:t>
            </w:r>
          </w:p>
        </w:tc>
        <w:tc>
          <w:tcPr>
            <w:tcW w:w="0" w:type="auto"/>
            <w:vAlign w:val="center"/>
            <w:hideMark/>
          </w:tcPr>
          <w:p w14:paraId="3357C7F4" w14:textId="77777777" w:rsidR="008470A2" w:rsidRPr="008470A2" w:rsidRDefault="008470A2" w:rsidP="008470A2">
            <w:pPr>
              <w:spacing w:after="120" w:line="276" w:lineRule="auto"/>
              <w:rPr>
                <w:rFonts w:ascii="Trebuchet MS" w:eastAsia="Calibri" w:hAnsi="Trebuchet MS" w:cs="Arial"/>
                <w:kern w:val="0"/>
                <w:sz w:val="20"/>
                <w:szCs w:val="20"/>
                <w:lang w:val="ro-RO"/>
                <w14:ligatures w14:val="none"/>
              </w:rPr>
            </w:pPr>
            <w:r>
              <w:rPr>
                <w:rFonts w:ascii="Trebuchet MS" w:eastAsia="Calibri" w:hAnsi="Trebuchet MS" w:cs="Arial"/>
                <w:kern w:val="0"/>
                <w:sz w:val="20"/>
                <w:szCs w:val="20"/>
                <w:lang w:val="ro-RO"/>
                <w14:ligatures w14:val="none"/>
              </w:rPr>
              <w:t>Se verifică conform ghidului de solicitant și condițiilor specifice ale schemei de ajutor de minimis</w:t>
            </w:r>
          </w:p>
        </w:tc>
      </w:tr>
    </w:tbl>
    <w:p w14:paraId="2C060248" w14:textId="77777777" w:rsidR="008470A2" w:rsidRDefault="008470A2" w:rsidP="008470A2">
      <w:pPr>
        <w:spacing w:after="0" w:line="276" w:lineRule="auto"/>
        <w:jc w:val="both"/>
        <w:rPr>
          <w:rFonts w:ascii="Trebuchet MS" w:hAnsi="Trebuchet MS"/>
          <w:b/>
          <w:bCs/>
          <w:lang w:val="ro-RO"/>
        </w:rPr>
      </w:pPr>
    </w:p>
    <w:p w14:paraId="1F7D4500" w14:textId="77777777" w:rsidR="005B5562" w:rsidRDefault="005B5562" w:rsidP="008470A2">
      <w:pPr>
        <w:spacing w:after="0" w:line="276" w:lineRule="auto"/>
        <w:jc w:val="both"/>
        <w:rPr>
          <w:rFonts w:ascii="Trebuchet MS" w:hAnsi="Trebuchet MS"/>
          <w:b/>
          <w:bCs/>
          <w:lang w:val="ro-RO"/>
        </w:rPr>
      </w:pPr>
    </w:p>
    <w:p w14:paraId="0457AE71" w14:textId="77777777" w:rsidR="005B5562" w:rsidRDefault="005B5562" w:rsidP="008470A2">
      <w:pPr>
        <w:spacing w:after="0" w:line="276" w:lineRule="auto"/>
        <w:jc w:val="both"/>
        <w:rPr>
          <w:rFonts w:ascii="Trebuchet MS" w:hAnsi="Trebuchet MS"/>
          <w:b/>
          <w:bCs/>
          <w:lang w:val="ro-RO"/>
        </w:rPr>
      </w:pPr>
    </w:p>
    <w:p w14:paraId="4FF6D375" w14:textId="77777777" w:rsidR="005B5562" w:rsidRDefault="005B5562" w:rsidP="008470A2">
      <w:pPr>
        <w:spacing w:after="0" w:line="276" w:lineRule="auto"/>
        <w:jc w:val="both"/>
        <w:rPr>
          <w:rFonts w:ascii="Trebuchet MS" w:hAnsi="Trebuchet MS"/>
          <w:b/>
          <w:bCs/>
          <w:lang w:val="ro-RO"/>
        </w:rPr>
      </w:pPr>
    </w:p>
    <w:p w14:paraId="689B371F" w14:textId="28EA60AB" w:rsidR="005B5562" w:rsidRPr="005B5562" w:rsidRDefault="005B5562" w:rsidP="008470A2">
      <w:pPr>
        <w:spacing w:after="0" w:line="276" w:lineRule="auto"/>
        <w:jc w:val="both"/>
        <w:rPr>
          <w:rFonts w:ascii="Trebuchet MS" w:hAnsi="Trebuchet MS"/>
          <w:b/>
          <w:bCs/>
          <w:lang w:val="it-IT"/>
        </w:rPr>
      </w:pPr>
      <w:r>
        <w:rPr>
          <w:rFonts w:ascii="Trebuchet MS" w:hAnsi="Trebuchet MS"/>
          <w:b/>
          <w:bCs/>
          <w:lang w:val="it-IT"/>
        </w:rPr>
        <w:t>Cofinanțarea proprie de minimum 10% se asigură exclusiv în bani și acoperă numai cheltuieli eligibile.</w:t>
      </w:r>
    </w:p>
    <w:sectPr w:rsidR="005B5562" w:rsidRPr="005B556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31FA5" w14:textId="77777777" w:rsidR="00EB2388" w:rsidRDefault="00EB2388" w:rsidP="00F87468">
      <w:pPr>
        <w:spacing w:after="0" w:line="240" w:lineRule="auto"/>
      </w:pPr>
      <w:r>
        <w:separator/>
      </w:r>
    </w:p>
  </w:endnote>
  <w:endnote w:type="continuationSeparator" w:id="0">
    <w:p w14:paraId="5970D829" w14:textId="77777777" w:rsidR="00EB2388" w:rsidRDefault="00EB2388"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66A2" w14:textId="77777777" w:rsidR="0091303A" w:rsidRDefault="00913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9C83" w14:textId="77777777" w:rsidR="0091303A" w:rsidRDefault="0091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5927B" w14:textId="77777777" w:rsidR="00EB2388" w:rsidRDefault="00EB2388" w:rsidP="00F87468">
      <w:pPr>
        <w:spacing w:after="0" w:line="240" w:lineRule="auto"/>
      </w:pPr>
      <w:r>
        <w:separator/>
      </w:r>
    </w:p>
  </w:footnote>
  <w:footnote w:type="continuationSeparator" w:id="0">
    <w:p w14:paraId="1545B470" w14:textId="77777777" w:rsidR="00EB2388" w:rsidRDefault="00EB2388"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F5A9" w14:textId="77777777" w:rsidR="0091303A" w:rsidRDefault="00913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240339" w:rsidRDefault="00F87468">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6973" w14:textId="77777777" w:rsidR="0091303A" w:rsidRDefault="0091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8D0C92"/>
    <w:multiLevelType w:val="hybridMultilevel"/>
    <w:tmpl w:val="DBE6C1DE"/>
    <w:lvl w:ilvl="0" w:tplc="D6C26670">
      <w:start w:val="1"/>
      <w:numFmt w:val="bullet"/>
      <w:lvlText w:val="•"/>
      <w:lvlJc w:val="left"/>
      <w:pPr>
        <w:ind w:left="567" w:hanging="283"/>
      </w:pPr>
    </w:lvl>
    <w:lvl w:ilvl="1" w:tplc="4A7CCAE8">
      <w:numFmt w:val="decimal"/>
      <w:lvlText w:val=""/>
      <w:lvlJc w:val="left"/>
    </w:lvl>
    <w:lvl w:ilvl="2" w:tplc="E3446E98">
      <w:numFmt w:val="decimal"/>
      <w:lvlText w:val=""/>
      <w:lvlJc w:val="left"/>
    </w:lvl>
    <w:lvl w:ilvl="3" w:tplc="306E5AFA">
      <w:numFmt w:val="decimal"/>
      <w:lvlText w:val=""/>
      <w:lvlJc w:val="left"/>
    </w:lvl>
    <w:lvl w:ilvl="4" w:tplc="B316D366">
      <w:numFmt w:val="decimal"/>
      <w:lvlText w:val=""/>
      <w:lvlJc w:val="left"/>
    </w:lvl>
    <w:lvl w:ilvl="5" w:tplc="763AFE54">
      <w:numFmt w:val="decimal"/>
      <w:lvlText w:val=""/>
      <w:lvlJc w:val="left"/>
    </w:lvl>
    <w:lvl w:ilvl="6" w:tplc="8D708BA6">
      <w:numFmt w:val="decimal"/>
      <w:lvlText w:val=""/>
      <w:lvlJc w:val="left"/>
    </w:lvl>
    <w:lvl w:ilvl="7" w:tplc="EA1E0D30">
      <w:numFmt w:val="decimal"/>
      <w:lvlText w:val=""/>
      <w:lvlJc w:val="left"/>
    </w:lvl>
    <w:lvl w:ilvl="8" w:tplc="4D2CE7F8">
      <w:numFmt w:val="decimal"/>
      <w:lvlText w:val=""/>
      <w:lvlJc w:val="left"/>
    </w:lvl>
  </w:abstractNum>
  <w:abstractNum w:abstractNumId="3"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490635">
    <w:abstractNumId w:val="3"/>
  </w:num>
  <w:num w:numId="2" w16cid:durableId="1799756423">
    <w:abstractNumId w:val="1"/>
  </w:num>
  <w:num w:numId="3" w16cid:durableId="898903599">
    <w:abstractNumId w:val="0"/>
  </w:num>
  <w:num w:numId="4" w16cid:durableId="10981336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06E35"/>
    <w:rsid w:val="001845A6"/>
    <w:rsid w:val="001B72FA"/>
    <w:rsid w:val="00210013"/>
    <w:rsid w:val="0022491D"/>
    <w:rsid w:val="00240339"/>
    <w:rsid w:val="002E2542"/>
    <w:rsid w:val="003C7240"/>
    <w:rsid w:val="00447389"/>
    <w:rsid w:val="00476318"/>
    <w:rsid w:val="004A286A"/>
    <w:rsid w:val="00537A48"/>
    <w:rsid w:val="00552563"/>
    <w:rsid w:val="005B5562"/>
    <w:rsid w:val="00636046"/>
    <w:rsid w:val="006C6E82"/>
    <w:rsid w:val="00741EF8"/>
    <w:rsid w:val="00744461"/>
    <w:rsid w:val="00761B97"/>
    <w:rsid w:val="007A5F08"/>
    <w:rsid w:val="008470A2"/>
    <w:rsid w:val="008F65DB"/>
    <w:rsid w:val="0091303A"/>
    <w:rsid w:val="00937AD4"/>
    <w:rsid w:val="0095682F"/>
    <w:rsid w:val="009B73D9"/>
    <w:rsid w:val="00A711EF"/>
    <w:rsid w:val="00B264A3"/>
    <w:rsid w:val="00B60997"/>
    <w:rsid w:val="00B675F8"/>
    <w:rsid w:val="00B85B3D"/>
    <w:rsid w:val="00C54EA7"/>
    <w:rsid w:val="00CA01B5"/>
    <w:rsid w:val="00CB1B0A"/>
    <w:rsid w:val="00D36726"/>
    <w:rsid w:val="00DE4B7D"/>
    <w:rsid w:val="00DF5A79"/>
    <w:rsid w:val="00E2357B"/>
    <w:rsid w:val="00E3209D"/>
    <w:rsid w:val="00E46475"/>
    <w:rsid w:val="00EB2388"/>
    <w:rsid w:val="00EB65D2"/>
    <w:rsid w:val="00EF6481"/>
    <w:rsid w:val="00F053F5"/>
    <w:rsid w:val="00F143D1"/>
    <w:rsid w:val="00F3371D"/>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paragraph" w:styleId="Heading1">
    <w:name w:val="heading 1"/>
    <w:link w:val="Heading1Char"/>
    <w:uiPriority w:val="9"/>
    <w:qFormat/>
    <w:rsid w:val="00240339"/>
    <w:pPr>
      <w:keepNext/>
      <w:spacing w:before="280" w:after="140" w:line="240" w:lineRule="auto"/>
      <w:outlineLvl w:val="0"/>
    </w:pPr>
    <w:rPr>
      <w:rFonts w:ascii="Arial" w:eastAsia="Arial" w:hAnsi="Arial" w:cs="Arial"/>
      <w:b/>
      <w:bCs/>
      <w:color w:val="1F4E79"/>
      <w:sz w:val="26"/>
      <w:szCs w:val="26"/>
      <w:lang w:val="ro-RO" w:eastAsia="ro-RO"/>
    </w:rPr>
  </w:style>
  <w:style w:type="paragraph" w:styleId="Heading2">
    <w:name w:val="heading 2"/>
    <w:link w:val="Heading2Char"/>
    <w:uiPriority w:val="9"/>
    <w:unhideWhenUsed/>
    <w:qFormat/>
    <w:rsid w:val="00240339"/>
    <w:pPr>
      <w:keepNext/>
      <w:spacing w:before="200" w:after="100" w:line="240" w:lineRule="auto"/>
      <w:outlineLvl w:val="1"/>
    </w:pPr>
    <w:rPr>
      <w:rFonts w:ascii="Arial" w:eastAsia="Arial" w:hAnsi="Arial" w:cs="Arial"/>
      <w:b/>
      <w:bCs/>
      <w:color w:val="1F4E79"/>
      <w:sz w:val="23"/>
      <w:szCs w:val="23"/>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0339"/>
    <w:rPr>
      <w:rFonts w:ascii="Arial" w:eastAsia="Arial" w:hAnsi="Arial" w:cs="Arial"/>
      <w:b/>
      <w:bCs/>
      <w:color w:val="1F4E79"/>
      <w:sz w:val="26"/>
      <w:szCs w:val="26"/>
      <w:lang w:val="ro-RO" w:eastAsia="ro-RO"/>
    </w:rPr>
  </w:style>
  <w:style w:type="character" w:customStyle="1" w:styleId="Heading2Char">
    <w:name w:val="Heading 2 Char"/>
    <w:basedOn w:val="DefaultParagraphFont"/>
    <w:link w:val="Heading2"/>
    <w:uiPriority w:val="9"/>
    <w:rsid w:val="00240339"/>
    <w:rPr>
      <w:rFonts w:ascii="Arial" w:eastAsia="Arial" w:hAnsi="Arial" w:cs="Arial"/>
      <w:b/>
      <w:bCs/>
      <w:color w:val="1F4E79"/>
      <w:sz w:val="23"/>
      <w:szCs w:val="23"/>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1273</Words>
  <Characters>7387</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2</cp:revision>
  <dcterms:created xsi:type="dcterms:W3CDTF">2026-10-07T15:34:00Z</dcterms:created>
  <dcterms:modified xsi:type="dcterms:W3CDTF">2026-10-07T15:34:00Z</dcterms:modified>
</cp:coreProperties>
</file>